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0DE25" w14:textId="4659212F" w:rsidR="001A5EC8" w:rsidRPr="001A5EC8" w:rsidRDefault="007F240B" w:rsidP="001A5EC8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bookmarkStart w:id="0" w:name="_Hlk149044235"/>
      <w:r w:rsidRPr="007F240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40</w:t>
      </w:r>
      <w:r w:rsidRPr="007F240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AA1D9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11309</w:t>
      </w:r>
      <w:r w:rsidRPr="007F240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7F240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7F240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7F240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7F240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7 listopada </w:t>
      </w:r>
      <w:r w:rsidRPr="007F240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  <w:r w:rsidR="001A5EC8"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</w:p>
    <w:p w14:paraId="6E77031C" w14:textId="77777777" w:rsidR="001A5EC8" w:rsidRPr="001A5EC8" w:rsidRDefault="001A5EC8" w:rsidP="001A5EC8">
      <w:pPr>
        <w:spacing w:after="240" w:line="276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w sprawie zaopiniowania projektu</w:t>
      </w:r>
      <w:r w:rsidRPr="001A5EC8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 Strategii Rozwoju Ponadlokalnego </w:t>
      </w:r>
      <w:bookmarkStart w:id="1" w:name="_Hlk118879145"/>
      <w:r w:rsidRPr="001A5EC8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Związku Gmin Turystycznych Pogórza Dynowskiego na lata 2022-2030</w:t>
      </w:r>
    </w:p>
    <w:bookmarkEnd w:id="1"/>
    <w:p w14:paraId="66BF48EC" w14:textId="77777777" w:rsidR="001A5EC8" w:rsidRPr="001A5EC8" w:rsidRDefault="001A5EC8" w:rsidP="001A5EC8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41 ust. 1 ustawy z dnia 5 czerwca 1998 r. </w:t>
      </w:r>
      <w:r w:rsidRPr="001A5EC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województwa</w:t>
      </w: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2" w:name="_Hlk100137707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bookmarkStart w:id="3" w:name="_Hlk97803401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Dz. U. z 2022 r. poz. </w:t>
      </w:r>
      <w:bookmarkStart w:id="4" w:name="_Hlk117140884"/>
      <w:bookmarkEnd w:id="3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2094</w:t>
      </w:r>
      <w:bookmarkEnd w:id="4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ze zm.) </w:t>
      </w:r>
      <w:bookmarkEnd w:id="2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art. 10g ust. 5 i 6 ustawy z dnia 8 marca 1990 r. </w:t>
      </w:r>
      <w:r w:rsidRPr="001A5EC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gminnym</w:t>
      </w: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</w:t>
      </w:r>
      <w:proofErr w:type="spellStart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Dz. U. z 2023 r. poz. 40 ze zm.)</w:t>
      </w:r>
    </w:p>
    <w:p w14:paraId="535D7A66" w14:textId="77777777" w:rsidR="001A5EC8" w:rsidRPr="001A5EC8" w:rsidRDefault="001A5EC8" w:rsidP="001A5EC8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442D6DC7" w14:textId="77777777" w:rsidR="001A5EC8" w:rsidRPr="001A5EC8" w:rsidRDefault="001A5EC8" w:rsidP="001A5EC8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1DD93327" w14:textId="77777777" w:rsidR="001A5EC8" w:rsidRPr="001A5EC8" w:rsidRDefault="001A5EC8" w:rsidP="001A5EC8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bookmarkStart w:id="5" w:name="_Hlk45790122"/>
      <w:r w:rsidRPr="001A5EC8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1</w:t>
      </w:r>
    </w:p>
    <w:bookmarkEnd w:id="5"/>
    <w:p w14:paraId="308C1A10" w14:textId="77777777" w:rsidR="001A5EC8" w:rsidRPr="001A5EC8" w:rsidRDefault="001A5EC8" w:rsidP="001A5EC8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projektu </w:t>
      </w:r>
      <w:r w:rsidRPr="001A5EC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Strategii Rozwoju Ponadlokalnego Związku Gmin Turystycznych Pogórza Dynowskiego na lata 2022-2030 </w:t>
      </w: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 zakresie sposobu uwzględnienia ustaleń i rekomendacji dotyczących kształtowania i prowadzenia polityki przestrzennej w województwie określonych w </w:t>
      </w:r>
      <w:r w:rsidRPr="001A5EC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09D0A8D0" w14:textId="77777777" w:rsidR="001A5EC8" w:rsidRPr="001A5EC8" w:rsidRDefault="001A5EC8" w:rsidP="001A5EC8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1A5EC8">
        <w:rPr>
          <w:rFonts w:ascii="Arial" w:eastAsia="Times New Roman" w:hAnsi="Arial" w:cstheme="majorBidi"/>
          <w:color w:val="000000" w:themeColor="text1"/>
          <w:sz w:val="24"/>
          <w:szCs w:val="26"/>
        </w:rPr>
        <w:t>§ 2</w:t>
      </w:r>
    </w:p>
    <w:p w14:paraId="24E8F49A" w14:textId="77777777" w:rsidR="001A5EC8" w:rsidRPr="001A5EC8" w:rsidRDefault="001A5EC8" w:rsidP="001A5EC8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Opinia stanowi załącznik do niniejszej Uchwały.</w:t>
      </w:r>
    </w:p>
    <w:p w14:paraId="17FC84E6" w14:textId="77777777" w:rsidR="001A5EC8" w:rsidRPr="001A5EC8" w:rsidRDefault="001A5EC8" w:rsidP="001A5EC8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1A5EC8">
        <w:rPr>
          <w:rFonts w:ascii="Arial" w:eastAsia="Times New Roman" w:hAnsi="Arial" w:cstheme="majorBidi"/>
          <w:color w:val="000000" w:themeColor="text1"/>
          <w:sz w:val="24"/>
          <w:szCs w:val="26"/>
        </w:rPr>
        <w:t>§ 3</w:t>
      </w:r>
    </w:p>
    <w:p w14:paraId="4D8333EF" w14:textId="77777777" w:rsidR="001A5EC8" w:rsidRPr="001A5EC8" w:rsidRDefault="001A5EC8" w:rsidP="001A5EC8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3D6C437F" w14:textId="77777777" w:rsidR="001A5EC8" w:rsidRPr="001A5EC8" w:rsidRDefault="001A5EC8" w:rsidP="001A5EC8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r w:rsidRPr="001A5EC8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4</w:t>
      </w:r>
    </w:p>
    <w:p w14:paraId="7D6639A6" w14:textId="77777777" w:rsidR="001A5EC8" w:rsidRPr="001A5EC8" w:rsidRDefault="001A5EC8" w:rsidP="001A5EC8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  <w:r w:rsidRPr="001A5EC8"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53FBCB89" w14:textId="77777777" w:rsidR="001A5EC8" w:rsidRDefault="001A5EC8" w:rsidP="00633D27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4096742F" w14:textId="77777777" w:rsidR="00633D27" w:rsidRPr="00AB7352" w:rsidRDefault="00633D27" w:rsidP="00633D27">
      <w:pPr>
        <w:spacing w:after="0"/>
        <w:rPr>
          <w:rFonts w:ascii="Arial" w:eastAsia="Calibri" w:hAnsi="Arial" w:cs="Arial"/>
          <w:sz w:val="23"/>
          <w:szCs w:val="23"/>
        </w:rPr>
      </w:pPr>
      <w:bookmarkStart w:id="6" w:name="_Hlk124256140"/>
      <w:r w:rsidRPr="00AB735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6F41367" w14:textId="77777777" w:rsidR="00633D27" w:rsidRPr="00AB7352" w:rsidRDefault="00633D27" w:rsidP="00633D27">
      <w:pPr>
        <w:spacing w:after="0"/>
        <w:rPr>
          <w:rFonts w:ascii="Arial" w:eastAsiaTheme="minorEastAsia" w:hAnsi="Arial" w:cs="Arial"/>
        </w:rPr>
      </w:pPr>
      <w:r w:rsidRPr="00AB735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6"/>
    <w:p w14:paraId="08838565" w14:textId="77777777" w:rsidR="00633D27" w:rsidRDefault="00633D27" w:rsidP="00633D27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7E6D6739" w14:textId="77777777" w:rsidR="00633D27" w:rsidRDefault="00633D27" w:rsidP="001A5EC8">
      <w:pPr>
        <w:spacing w:after="0" w:line="240" w:lineRule="auto"/>
        <w:jc w:val="right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55BE7F54" w14:textId="77777777" w:rsidR="00633D27" w:rsidRPr="001A5EC8" w:rsidRDefault="00633D27" w:rsidP="00633D27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pl-PL"/>
        </w:rPr>
        <w:sectPr w:rsidR="00633D27" w:rsidRPr="001A5EC8" w:rsidSect="00113C0F"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672A9D1" w14:textId="6BBEB032" w:rsidR="007F240B" w:rsidRPr="007F240B" w:rsidRDefault="007F240B" w:rsidP="007F240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7" w:name="_Hlk97711470"/>
      <w:r w:rsidRPr="007F240B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40</w:t>
      </w:r>
      <w:r w:rsidRPr="007F240B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AA1D9A">
        <w:rPr>
          <w:rFonts w:ascii="Arial" w:eastAsia="Times New Roman" w:hAnsi="Arial" w:cs="Arial"/>
          <w:bCs/>
          <w:sz w:val="24"/>
          <w:szCs w:val="24"/>
          <w:lang w:eastAsia="pl-PL"/>
        </w:rPr>
        <w:t>11309</w:t>
      </w:r>
      <w:r w:rsidRPr="007F240B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27E9ACDD" w14:textId="77777777" w:rsidR="007F240B" w:rsidRPr="007F240B" w:rsidRDefault="007F240B" w:rsidP="007F240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F240B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4A997087" w14:textId="77777777" w:rsidR="007F240B" w:rsidRPr="007F240B" w:rsidRDefault="007F240B" w:rsidP="007F240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F240B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B7EC780" w14:textId="500EC84E" w:rsidR="007F240B" w:rsidRDefault="007F240B" w:rsidP="007F240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F240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7 listopada </w:t>
      </w:r>
      <w:r w:rsidRPr="007F240B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7F240B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p w14:paraId="2A455C37" w14:textId="77777777" w:rsidR="00AA1D9A" w:rsidRPr="007F240B" w:rsidRDefault="00AA1D9A" w:rsidP="007F240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bookmarkEnd w:id="7"/>
    <w:p w14:paraId="716F5A2D" w14:textId="77777777" w:rsidR="001A5EC8" w:rsidRPr="001A5EC8" w:rsidRDefault="001A5EC8" w:rsidP="001A5EC8">
      <w:pPr>
        <w:spacing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Opinia o spójności dokumentu ze </w:t>
      </w:r>
      <w:r w:rsidRPr="001A5EC8">
        <w:rPr>
          <w:rFonts w:ascii="Arial" w:eastAsia="Times New Roman" w:hAnsi="Arial" w:cs="Arial"/>
          <w:b/>
          <w:i/>
          <w:sz w:val="24"/>
          <w:szCs w:val="24"/>
          <w:lang w:eastAsia="pl-PL"/>
        </w:rPr>
        <w:t>Strategią rozwoju województwa – Podkarpackie 2030</w:t>
      </w:r>
      <w:r w:rsidRPr="001A5EC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zakresie sposobu uwzględnienia w nim ustaleń i rekomendacji dotyczących kształtowania i prowadzenia polityki przestrzennej w województwie.</w:t>
      </w:r>
    </w:p>
    <w:p w14:paraId="57E36503" w14:textId="77777777" w:rsidR="001A5EC8" w:rsidRPr="001A5EC8" w:rsidRDefault="001A5EC8" w:rsidP="001A5EC8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Zgodnie z art. 10g ust. 5 i 6 ustawy z dnia 8 marca 1990 r. </w:t>
      </w:r>
      <w:r w:rsidRPr="001A5EC8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o samorządzie gminnym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(</w:t>
      </w:r>
      <w:proofErr w:type="spellStart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t.j</w:t>
      </w:r>
      <w:proofErr w:type="spellEnd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. Dz. U. z 2023 r. poz. 40 ze zm., dalej </w:t>
      </w:r>
      <w:proofErr w:type="spellStart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u.s.g</w:t>
      </w:r>
      <w:proofErr w:type="spellEnd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.) </w:t>
      </w:r>
      <w:bookmarkStart w:id="8" w:name="_Hlk98835338"/>
      <w:bookmarkStart w:id="9" w:name="_Hlk97803195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projekt strategii rozwoju ponadlokalnego opracowuje odpowiednio wójt albo starosta wskazany w porozumieniu międzygminnym, organ wykonawczy związku międzygminnego albo stowarzyszenia oraz przedkłada go zarządowi województwa w celu wydania opinii dotyczącej sposobu uwzględnienia ustaleń i rekomendacji w zakresie kształtowania i prowadzenia polityki przestrzennej w województwie określonych w strategii rozwoju województwa.</w:t>
      </w:r>
    </w:p>
    <w:p w14:paraId="49A6F6E3" w14:textId="77777777" w:rsidR="001A5EC8" w:rsidRPr="001A5EC8" w:rsidRDefault="001A5EC8" w:rsidP="001A5EC8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W terminie 30 dni od dnia otrzymania projektu strategii rozwoju ponadlokalnego zarząd województwa wydaje opinię w niniejszym zakresie. Brak wydania opinii w tym terminie oznacza przyjęcie, że przedłożona do opiniowania strategia rozwoju ponadlokalnego jest spójna ze strategią rozwoju województwa.</w:t>
      </w:r>
    </w:p>
    <w:p w14:paraId="255A314B" w14:textId="77777777" w:rsidR="001A5EC8" w:rsidRPr="001A5EC8" w:rsidRDefault="001A5EC8" w:rsidP="001A5EC8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bookmarkStart w:id="10" w:name="_Hlk118885537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W dniu 12 października 2023 r. do Urzędu Marszałkowskiego Województwa Podkarpackiego wpłynął wniosek z dnia 12 października 2023 r., Pana Zygmunta </w:t>
      </w:r>
      <w:proofErr w:type="spellStart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Frańczak</w:t>
      </w:r>
      <w:proofErr w:type="spellEnd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– Prezesa Zarządu Związku Gmin Turystycznych Pogórza Dynowskiego o zaopiniowanie w myśl art. 10g ust. 5 </w:t>
      </w:r>
      <w:proofErr w:type="spellStart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u.s.g</w:t>
      </w:r>
      <w:proofErr w:type="spellEnd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. projektu </w:t>
      </w:r>
      <w:r w:rsidRPr="001A5EC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Strategii Rozwoju Ponadlokalnego Związku Gmin Turystycznych Pogórza Dynowskiego na lata 2022-2030 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(SRP).</w:t>
      </w:r>
    </w:p>
    <w:bookmarkEnd w:id="8"/>
    <w:bookmarkEnd w:id="9"/>
    <w:bookmarkEnd w:id="10"/>
    <w:p w14:paraId="1021C106" w14:textId="77777777" w:rsidR="001A5EC8" w:rsidRPr="001A5EC8" w:rsidRDefault="001A5EC8" w:rsidP="001A5EC8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Związek Gmin Turystycznych Pogórza Dynowskiego tworzą: Miasto i Gmina Dubiecko, Gmina Dynów, Gmina Nozdrzec, Gmina Krzywcza, Gmina Dydnia, Gmina Błażowa, Gmina Hyżne, Gmina Jawornik Polski oraz Miasto Dynów.</w:t>
      </w:r>
    </w:p>
    <w:p w14:paraId="79F6AE2F" w14:textId="77777777" w:rsidR="001A5EC8" w:rsidRPr="001A5EC8" w:rsidRDefault="001A5EC8" w:rsidP="001A5EC8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sz w:val="24"/>
          <w:szCs w:val="24"/>
          <w:lang w:eastAsia="pl-PL"/>
        </w:rPr>
        <w:t>Przeprowadzona analiza wykazała, że zakres przedstawionego projektu</w:t>
      </w:r>
      <w:r w:rsidRPr="001A5EC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Strategii Rozwoju Ponadlokalnego Związku Gmin Turystycznych Pogórza Dynowskiego na lata 2022-2030 </w:t>
      </w:r>
      <w:r w:rsidRPr="001A5EC8">
        <w:rPr>
          <w:rFonts w:ascii="Arial" w:eastAsia="Times New Roman" w:hAnsi="Arial" w:cs="Arial"/>
          <w:sz w:val="24"/>
          <w:szCs w:val="24"/>
          <w:lang w:eastAsia="pl-PL"/>
        </w:rPr>
        <w:t xml:space="preserve">mieści się w horyzoncie czasowym przyjętym w </w:t>
      </w:r>
      <w:r w:rsidRPr="001A5EC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Strategii rozwoju województwa – Podkarpackie 2030 </w:t>
      </w:r>
      <w:r w:rsidRPr="001A5EC8"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Pr="001A5EC8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1A5EC8">
        <w:rPr>
          <w:rFonts w:ascii="Arial" w:eastAsia="Times New Roman" w:hAnsi="Arial" w:cs="Arial"/>
          <w:sz w:val="24"/>
          <w:szCs w:val="24"/>
          <w:lang w:eastAsia="pl-PL"/>
        </w:rPr>
        <w:t xml:space="preserve">). Wyznaczone w nim cele strategiczne, a także cele operacyjne wraz z wymienionymi w ich ramach kierunkami działań wpisują się w zapisy </w:t>
      </w:r>
      <w:r w:rsidRPr="001A5EC8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1A5EC8">
        <w:rPr>
          <w:rFonts w:ascii="Arial" w:eastAsia="Times New Roman" w:hAnsi="Arial" w:cs="Arial"/>
          <w:sz w:val="24"/>
          <w:szCs w:val="24"/>
          <w:lang w:eastAsia="pl-PL"/>
        </w:rPr>
        <w:t>. W szczególności można przypisać je w sposób bezpośredni lub pośredni m.in. w niżej wymienione obszary tematyczne i priorytety.</w:t>
      </w:r>
    </w:p>
    <w:p w14:paraId="07854B52" w14:textId="77777777" w:rsidR="001A5EC8" w:rsidRPr="001A5EC8" w:rsidRDefault="001A5EC8" w:rsidP="001A5EC8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FA74136" w14:textId="77777777" w:rsidR="001A5EC8" w:rsidRPr="001A5EC8" w:rsidRDefault="001A5EC8" w:rsidP="001A5EC8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E7D85D6" w14:textId="77777777" w:rsidR="001A5EC8" w:rsidRPr="001A5EC8" w:rsidRDefault="001A5EC8" w:rsidP="001A5EC8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OBSZAR TEMATYCZNY 1. GOSPODARKA I NAUKA</w:t>
      </w:r>
    </w:p>
    <w:p w14:paraId="60845F0C" w14:textId="77777777" w:rsidR="001A5EC8" w:rsidRPr="001A5EC8" w:rsidRDefault="001A5EC8" w:rsidP="001A5EC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Priorytet 1.3. Konkurencyjność gospodarki poprzez innowacje i nowoczesne technologie</w:t>
      </w:r>
    </w:p>
    <w:p w14:paraId="513F3663" w14:textId="77777777" w:rsidR="001A5EC8" w:rsidRPr="001A5EC8" w:rsidRDefault="001A5EC8" w:rsidP="001A5EC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W Priorytet wpisują się kierunki działań:  6.1, 6.2 SRP.</w:t>
      </w:r>
    </w:p>
    <w:p w14:paraId="01164471" w14:textId="77777777" w:rsidR="001A5EC8" w:rsidRPr="001A5EC8" w:rsidRDefault="001A5EC8" w:rsidP="001A5EC8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b/>
          <w:color w:val="000000" w:themeColor="text1"/>
          <w:sz w:val="24"/>
          <w:szCs w:val="24"/>
        </w:rPr>
        <w:t>OBSZAR TEMATYCZNY 2. KAPITAŁ LUDZKI I SPOŁECZNY</w:t>
      </w:r>
    </w:p>
    <w:p w14:paraId="4E4C59AC" w14:textId="77777777" w:rsidR="001A5EC8" w:rsidRPr="001A5EC8" w:rsidRDefault="001A5EC8" w:rsidP="001A5EC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Priorytet 2.1. Edukacja</w:t>
      </w:r>
    </w:p>
    <w:p w14:paraId="62190548" w14:textId="77777777" w:rsidR="001A5EC8" w:rsidRPr="001A5EC8" w:rsidRDefault="001A5EC8" w:rsidP="001A5EC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W Priorytet wpisują się kierunki działań: 1.7, 1.10 SRP.</w:t>
      </w:r>
    </w:p>
    <w:p w14:paraId="74EC92BD" w14:textId="77777777" w:rsidR="001A5EC8" w:rsidRPr="001A5EC8" w:rsidRDefault="001A5EC8" w:rsidP="001A5EC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Priorytet 2.2. Regionalna polityka zdrowotna</w:t>
      </w:r>
    </w:p>
    <w:p w14:paraId="32C658F8" w14:textId="77777777" w:rsidR="001A5EC8" w:rsidRPr="001A5EC8" w:rsidRDefault="001A5EC8" w:rsidP="001A5EC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W Priorytet wpisuje się kierunek działania 1.6 SRP.</w:t>
      </w:r>
    </w:p>
    <w:p w14:paraId="7E4FE2C1" w14:textId="77777777" w:rsidR="001A5EC8" w:rsidRPr="001A5EC8" w:rsidRDefault="001A5EC8" w:rsidP="001A5EC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Priorytet 2.3. Kultura i dziedzictwo kulturowe</w:t>
      </w:r>
    </w:p>
    <w:p w14:paraId="59BAFCF3" w14:textId="77777777" w:rsidR="001A5EC8" w:rsidRPr="001A5EC8" w:rsidRDefault="001A5EC8" w:rsidP="001A5EC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1" w:name="_Hlk124152391"/>
      <w:r w:rsidRPr="001A5EC8">
        <w:rPr>
          <w:rFonts w:ascii="Arial" w:hAnsi="Arial" w:cs="Arial"/>
          <w:color w:val="000000" w:themeColor="text1"/>
          <w:sz w:val="24"/>
          <w:szCs w:val="24"/>
        </w:rPr>
        <w:t>W Priorytet wpisują się kierunki działań: 1.11, 2.4, 4.1 SRP.</w:t>
      </w:r>
    </w:p>
    <w:p w14:paraId="7586D369" w14:textId="77777777" w:rsidR="001A5EC8" w:rsidRPr="001A5EC8" w:rsidRDefault="001A5EC8" w:rsidP="001A5EC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Priorytet 2.4. Rynek pracy</w:t>
      </w:r>
    </w:p>
    <w:p w14:paraId="50695AE1" w14:textId="77777777" w:rsidR="001A5EC8" w:rsidRPr="001A5EC8" w:rsidRDefault="001A5EC8" w:rsidP="001A5EC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W Priorytet wpisują się kierunki działań: 1.1, 1.8 SRP.</w:t>
      </w:r>
    </w:p>
    <w:bookmarkEnd w:id="11"/>
    <w:p w14:paraId="74D04DC4" w14:textId="77777777" w:rsidR="001A5EC8" w:rsidRPr="001A5EC8" w:rsidRDefault="001A5EC8" w:rsidP="001A5EC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Priorytet 2.5. Społeczeństwo obywatelskie i kapitał społeczny</w:t>
      </w:r>
    </w:p>
    <w:p w14:paraId="764444D9" w14:textId="77777777" w:rsidR="001A5EC8" w:rsidRPr="001A5EC8" w:rsidRDefault="001A5EC8" w:rsidP="001A5EC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W Priorytet wpisuje się kierunek działania 6.2 SRP.</w:t>
      </w:r>
    </w:p>
    <w:p w14:paraId="3412215C" w14:textId="77777777" w:rsidR="001A5EC8" w:rsidRPr="001A5EC8" w:rsidRDefault="001A5EC8" w:rsidP="001A5EC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Priorytet 2.6. Włączenie społeczne</w:t>
      </w:r>
    </w:p>
    <w:p w14:paraId="369688E2" w14:textId="77777777" w:rsidR="001A5EC8" w:rsidRPr="001A5EC8" w:rsidRDefault="001A5EC8" w:rsidP="001A5EC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W Priorytet wpisują się kierunki działań: 1.2, 1.8, 1.9, 1.12 SRP.</w:t>
      </w:r>
    </w:p>
    <w:p w14:paraId="480E245C" w14:textId="77777777" w:rsidR="001A5EC8" w:rsidRPr="001A5EC8" w:rsidRDefault="001A5EC8" w:rsidP="001A5EC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Priorytet 2.7. Aktywny styl życia i sport</w:t>
      </w:r>
    </w:p>
    <w:p w14:paraId="6195CA97" w14:textId="77777777" w:rsidR="001A5EC8" w:rsidRPr="001A5EC8" w:rsidRDefault="001A5EC8" w:rsidP="001A5EC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W Priorytet wpisuje się kierunek działania 1.11 SRP.</w:t>
      </w:r>
    </w:p>
    <w:p w14:paraId="4A89F5A5" w14:textId="77777777" w:rsidR="001A5EC8" w:rsidRPr="001A5EC8" w:rsidRDefault="001A5EC8" w:rsidP="001A5EC8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b/>
          <w:color w:val="000000" w:themeColor="text1"/>
          <w:sz w:val="24"/>
          <w:szCs w:val="24"/>
        </w:rPr>
        <w:t>OBSZAR TEMATYCZNY 3. INFRASTRUKTURA DLA ZRÓWNOWAŻONEGO ROZWOJU I ŚRODOWISKA</w:t>
      </w:r>
    </w:p>
    <w:p w14:paraId="29A19F46" w14:textId="77777777" w:rsidR="001A5EC8" w:rsidRPr="001A5EC8" w:rsidRDefault="001A5EC8" w:rsidP="001A5EC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Priorytet 3.1. Bezpieczeństwo energetyczne i OZE</w:t>
      </w:r>
    </w:p>
    <w:p w14:paraId="3867FC39" w14:textId="77777777" w:rsidR="001A5EC8" w:rsidRPr="001A5EC8" w:rsidRDefault="001A5EC8" w:rsidP="001A5EC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W Priorytet wpisują się kierunki działań: 1.3, 2.1, 5.1 SRP.</w:t>
      </w:r>
    </w:p>
    <w:p w14:paraId="0843EE9A" w14:textId="77777777" w:rsidR="001A5EC8" w:rsidRPr="001A5EC8" w:rsidRDefault="001A5EC8" w:rsidP="001A5EC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Priorytet 3.2. Rozwój infrastruktury transportowej oraz integracji międzygałęziowej transportu</w:t>
      </w:r>
    </w:p>
    <w:p w14:paraId="31253FE5" w14:textId="77777777" w:rsidR="001A5EC8" w:rsidRPr="001A5EC8" w:rsidRDefault="001A5EC8" w:rsidP="001A5EC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W Priorytet wpisuje się kierunek działania 1.5 SRP.</w:t>
      </w:r>
    </w:p>
    <w:p w14:paraId="7D1105A3" w14:textId="77777777" w:rsidR="001A5EC8" w:rsidRPr="001A5EC8" w:rsidRDefault="001A5EC8" w:rsidP="001A5EC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Priorytet 3.3. Poprawa dostępności komunikacyjnej wewnątrz regionu oraz rozwój transportu publicznego</w:t>
      </w:r>
    </w:p>
    <w:p w14:paraId="11122911" w14:textId="77777777" w:rsidR="001A5EC8" w:rsidRPr="001A5EC8" w:rsidRDefault="001A5EC8" w:rsidP="001A5EC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W Priorytet wpisują się kierunki działań: 1.5, 2.3 SRP.</w:t>
      </w:r>
    </w:p>
    <w:p w14:paraId="00BE258E" w14:textId="77777777" w:rsidR="001A5EC8" w:rsidRPr="001A5EC8" w:rsidRDefault="001A5EC8" w:rsidP="001A5EC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Priorytet 3.4. Rozwój infrastruktury informacyjno-komunikacyjnej w regionie</w:t>
      </w:r>
    </w:p>
    <w:p w14:paraId="19B36ACA" w14:textId="77777777" w:rsidR="001A5EC8" w:rsidRPr="001A5EC8" w:rsidRDefault="001A5EC8" w:rsidP="001A5EC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W Priorytet wpisuje się kierunek działania 2.6 SRP.</w:t>
      </w:r>
    </w:p>
    <w:p w14:paraId="131495B0" w14:textId="77777777" w:rsidR="001A5EC8" w:rsidRPr="001A5EC8" w:rsidRDefault="001A5EC8" w:rsidP="001A5EC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Priorytet 3.5. Rozwój infrastruktury służącej prowadzeniu działalności gospodarczej i turystyki</w:t>
      </w:r>
    </w:p>
    <w:p w14:paraId="17BF38CD" w14:textId="77777777" w:rsidR="001A5EC8" w:rsidRPr="001A5EC8" w:rsidRDefault="001A5EC8" w:rsidP="001A5EC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2" w:name="_Hlk117161701"/>
      <w:r w:rsidRPr="001A5EC8">
        <w:rPr>
          <w:rFonts w:ascii="Arial" w:hAnsi="Arial" w:cs="Arial"/>
          <w:color w:val="000000" w:themeColor="text1"/>
          <w:sz w:val="24"/>
          <w:szCs w:val="24"/>
        </w:rPr>
        <w:t>W Priorytet wpisują się kierunki działań: 1.11, 2.4, 6.3 SRP.</w:t>
      </w:r>
    </w:p>
    <w:p w14:paraId="1DF2C09E" w14:textId="77777777" w:rsidR="001A5EC8" w:rsidRPr="001A5EC8" w:rsidRDefault="001A5EC8" w:rsidP="001A5EC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Priorytet 3.6. Przeciwdziałanie i minimalizowanie skutków zagrożeń wywołanych czynnikami naturalnym</w:t>
      </w:r>
    </w:p>
    <w:p w14:paraId="04D428B5" w14:textId="77777777" w:rsidR="001A5EC8" w:rsidRPr="001A5EC8" w:rsidRDefault="001A5EC8" w:rsidP="001A5EC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lastRenderedPageBreak/>
        <w:t>W Priorytet wpisuje się kierunek działania 1.4 SRP.</w:t>
      </w:r>
    </w:p>
    <w:bookmarkEnd w:id="12"/>
    <w:p w14:paraId="5A2A6588" w14:textId="77777777" w:rsidR="001A5EC8" w:rsidRPr="001A5EC8" w:rsidRDefault="001A5EC8" w:rsidP="001A5EC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Priorytet 3.7. Zapobieganie i minimalizowanie skutków zagrożeń antropogenicznych</w:t>
      </w:r>
    </w:p>
    <w:p w14:paraId="2785F653" w14:textId="77777777" w:rsidR="001A5EC8" w:rsidRPr="001A5EC8" w:rsidRDefault="001A5EC8" w:rsidP="001A5EC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W Priorytet wpisuje się kierunek działania 2.2 SRP.</w:t>
      </w:r>
    </w:p>
    <w:p w14:paraId="59479D20" w14:textId="77777777" w:rsidR="001A5EC8" w:rsidRPr="001A5EC8" w:rsidRDefault="001A5EC8" w:rsidP="001A5EC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Priorytet 3.8. Zarządzanie zasobami dziedzictwa przyrodniczego, w tym ochrona i poprawianie stanu różnorodności biologicznej i krajobrazu</w:t>
      </w:r>
    </w:p>
    <w:p w14:paraId="2B63BFB3" w14:textId="77777777" w:rsidR="001A5EC8" w:rsidRPr="001A5EC8" w:rsidRDefault="001A5EC8" w:rsidP="001A5EC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W Priorytet wpisuje się kierunek działania 5.2 SRP.</w:t>
      </w:r>
    </w:p>
    <w:p w14:paraId="2CBDFF29" w14:textId="77777777" w:rsidR="001A5EC8" w:rsidRPr="001A5EC8" w:rsidRDefault="001A5EC8" w:rsidP="001A5EC8">
      <w:pPr>
        <w:spacing w:after="120" w:line="276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b/>
          <w:color w:val="000000" w:themeColor="text1"/>
          <w:sz w:val="24"/>
          <w:szCs w:val="24"/>
        </w:rPr>
        <w:t xml:space="preserve">OBSZAR TEMATYCZNY 4. </w:t>
      </w:r>
      <w:r w:rsidRPr="001A5EC8">
        <w:rPr>
          <w:rFonts w:ascii="Arial" w:hAnsi="Arial" w:cs="Arial"/>
          <w:b/>
          <w:bCs/>
          <w:color w:val="000000" w:themeColor="text1"/>
          <w:sz w:val="24"/>
          <w:szCs w:val="24"/>
        </w:rPr>
        <w:t>DOSTĘPNOŚĆ USŁUG</w:t>
      </w:r>
    </w:p>
    <w:p w14:paraId="0FF2862A" w14:textId="77777777" w:rsidR="001A5EC8" w:rsidRPr="001A5EC8" w:rsidRDefault="001A5EC8" w:rsidP="001A5EC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Priorytet 4.2. Planowanie przestrzenne wspierające aktywizację społeczności i aktywizacja obszarów zdegradowanych</w:t>
      </w:r>
    </w:p>
    <w:p w14:paraId="6611AA8F" w14:textId="77777777" w:rsidR="001A5EC8" w:rsidRPr="001A5EC8" w:rsidRDefault="001A5EC8" w:rsidP="001A5EC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W Priorytet wpisują się kierunki działań: 1.12, 1,13, 2.1, 3.1, 3.2 SRP.</w:t>
      </w:r>
    </w:p>
    <w:p w14:paraId="4EC91DB8" w14:textId="77777777" w:rsidR="001A5EC8" w:rsidRPr="001A5EC8" w:rsidRDefault="001A5EC8" w:rsidP="001A5EC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Priorytet 4.3. Wsparcie instytucjonalne i poprawa bezpieczeństwa mieszkańców</w:t>
      </w:r>
    </w:p>
    <w:p w14:paraId="1485F9A8" w14:textId="77777777" w:rsidR="001A5EC8" w:rsidRPr="001A5EC8" w:rsidRDefault="001A5EC8" w:rsidP="001A5EC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W Priorytet wpisuje się kierunek działania 2.5 SRP.</w:t>
      </w:r>
    </w:p>
    <w:p w14:paraId="72C76564" w14:textId="77777777" w:rsidR="001A5EC8" w:rsidRPr="001A5EC8" w:rsidRDefault="001A5EC8" w:rsidP="001A5EC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Priorytet 4.4. Budowanie i rozwój partnerstwa dla rozwoju województwa</w:t>
      </w:r>
    </w:p>
    <w:p w14:paraId="6689927B" w14:textId="77777777" w:rsidR="001A5EC8" w:rsidRPr="001A5EC8" w:rsidRDefault="001A5EC8" w:rsidP="001A5EC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W Priorytet wpisuje się kierunek działania 6.2 SRP.</w:t>
      </w:r>
    </w:p>
    <w:p w14:paraId="46C55AEA" w14:textId="77777777" w:rsidR="001A5EC8" w:rsidRPr="001A5EC8" w:rsidRDefault="001A5EC8" w:rsidP="001A5EC8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b/>
          <w:color w:val="000000" w:themeColor="text1"/>
          <w:sz w:val="24"/>
          <w:szCs w:val="24"/>
        </w:rPr>
        <w:t>OBSZAR HORYZONTALNY – TERYTORIALNY WYMIAR STRATEGII</w:t>
      </w:r>
    </w:p>
    <w:p w14:paraId="1C3DA1DF" w14:textId="77777777" w:rsidR="001A5EC8" w:rsidRPr="001A5EC8" w:rsidRDefault="001A5EC8" w:rsidP="001A5EC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Priorytet 7.1. Wykorzystanie policentrycznego miejskiego układu osadniczego</w:t>
      </w:r>
    </w:p>
    <w:p w14:paraId="037799D8" w14:textId="77777777" w:rsidR="001A5EC8" w:rsidRPr="001A5EC8" w:rsidRDefault="001A5EC8" w:rsidP="001A5EC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Priorytet 7.2. Funkcje metropolitalne Rzeszowa oraz jego obszaru funkcjonalnego</w:t>
      </w:r>
    </w:p>
    <w:p w14:paraId="1E559EEE" w14:textId="77777777" w:rsidR="001A5EC8" w:rsidRPr="001A5EC8" w:rsidRDefault="001A5EC8" w:rsidP="001A5EC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Priorytet 7.3. Obszary wymagające szczególnego wsparcia w kontekście równoważenia rozwoju</w:t>
      </w:r>
    </w:p>
    <w:p w14:paraId="55BED16C" w14:textId="77777777" w:rsidR="001A5EC8" w:rsidRPr="001A5EC8" w:rsidRDefault="001A5EC8" w:rsidP="001A5EC8">
      <w:pPr>
        <w:spacing w:after="24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Priorytet 7.4. Obszary wiejskie – wysoka jakość przestrzeni do zamieszkania, pracy i wypoczynku</w:t>
      </w:r>
    </w:p>
    <w:p w14:paraId="14750895" w14:textId="77777777" w:rsidR="001A5EC8" w:rsidRDefault="001A5EC8" w:rsidP="001A5EC8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do zaopiniowania p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rojekt </w:t>
      </w:r>
      <w:r>
        <w:rPr>
          <w:rFonts w:ascii="Arial" w:eastAsia="Times New Roman" w:hAnsi="Arial" w:cs="Arial"/>
          <w:sz w:val="24"/>
          <w:szCs w:val="24"/>
          <w:lang w:eastAsia="ar-SA"/>
        </w:rPr>
        <w:t>SRP</w:t>
      </w:r>
      <w:r w:rsidRPr="000D2B7A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został zweryfikowany pod kątem przedstawienia elementów o których mowa w art. 10e ust. 3 i 4 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>. Zgodnie z</w:t>
      </w:r>
      <w:r w:rsidR="00715106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przywołaną regulacją, strategia rozwoju gminy powinna zawierać, m.in.: wnioski z</w:t>
      </w:r>
      <w:r w:rsidR="00715106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diagnozy, cele strategiczne rozwoju w wymiarze społecznym, gospodarczym i</w:t>
      </w:r>
      <w:r w:rsidR="00715106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przestrzennym, kierunki działań podejmowanych dla osiągnięcia celów strategicznych, oczekiwane rezultaty planowanych działań, w tym w wymiarze przestrzennym, oraz wskaźniki ich osiągnięcia, model struktury funkcjonalno-przestrzennej, ustalenia i rekomendacje w zakresie kształtowania i prowadzenia polityki przestrzennej w gminie, obszary strategicznej interwencji wynikające ze strategii rozwoju województwa wraz z zakresem planowanych działań, obszary strategicznej interwencji kluczowe dla gminy, jeżeli takie zidentyfikowano, wraz z</w:t>
      </w:r>
      <w:r w:rsidR="00715106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zakresem planowanych działań, system realizacji strategii, w tym wytyczne do sporządzania dokumentów wykonawczych oraz ramy finansowe i źródła finansowania. </w:t>
      </w:r>
    </w:p>
    <w:p w14:paraId="68D708A1" w14:textId="77777777" w:rsidR="001A5EC8" w:rsidRPr="001A5EC8" w:rsidRDefault="001A5EC8" w:rsidP="001A5EC8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Przeprowadzona analiza dokumentu wykazała pewne braki. </w:t>
      </w:r>
    </w:p>
    <w:p w14:paraId="1C72F3CA" w14:textId="77777777" w:rsidR="001A5EC8" w:rsidRPr="001A5EC8" w:rsidRDefault="001A5EC8" w:rsidP="00715106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Przedstawiony model struktury funkcjonalno-przestrzennej należy uzupełnić o </w:t>
      </w:r>
      <w:r w:rsidR="0071510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strukturę sieci osadniczej.</w:t>
      </w:r>
    </w:p>
    <w:p w14:paraId="00FF440F" w14:textId="77777777" w:rsidR="00692BC8" w:rsidRDefault="00692BC8" w:rsidP="00692BC8">
      <w:pPr>
        <w:spacing w:before="240"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92B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Przeprowadzona analiza wykazała niepełne przypisanie gmin do regionalnych obszarów strategicznej interwencji (OSI). Przedłożony projekt SRP przedstawia następujące obszary strategicznej interwencji: Priorytet 7.2. Funkcje metropolitalne Rzeszowa o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raz jego obszaru funkcjonalnego; </w:t>
      </w:r>
      <w:r w:rsidRPr="00692B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Priorytet 7.3. Obszary wymagające szczególnego wsparcia w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kontekście równoważenia rozwoju oraz </w:t>
      </w:r>
      <w:r w:rsidRPr="00692B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7.4. Obszary wiejskie – wysoka jakość przestrzeni do zamieszkania, pracy i wypoczynku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5BE2A55A" w14:textId="77777777" w:rsidR="00692BC8" w:rsidRDefault="00692BC8" w:rsidP="00692BC8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92B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Właściwa identyfikacja OSI na poziomie województwa dla Związku Gmin Turystycznych Pogórza Dynowskiego powinna dodatkowo wskazywać priorytet 7.1 Wykorzystanie policentrycznego miejskiego układu osadniczego oraz kierunki nw. działań wraz z planowanymi w ich ramach zakładanymi działaniami:</w:t>
      </w:r>
    </w:p>
    <w:p w14:paraId="20EE467D" w14:textId="77777777" w:rsidR="001A5EC8" w:rsidRPr="001A5EC8" w:rsidRDefault="001A5EC8" w:rsidP="001A5EC8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7.1.1. Wzmocnienie roli biegunów wzrostu w świadczeniu usług publicznych oraz usług wyższego rzędu, a w szczególności wzmacnianie potencjałów wyróżniających je w skali krajowej;</w:t>
      </w:r>
    </w:p>
    <w:p w14:paraId="7012F1B7" w14:textId="77777777" w:rsidR="001A5EC8" w:rsidRPr="001A5EC8" w:rsidRDefault="001A5EC8" w:rsidP="001A5EC8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7.1.2. Rozwój potencjału gospodarczego miast, ze szczególnym uwzględnieniem biegunów wzrostu wraz z rozprzestrzenianiem trendów rozwojowych na otaczające je obszary funkcjonalne oraz wiejskie;</w:t>
      </w:r>
    </w:p>
    <w:p w14:paraId="21CFDE30" w14:textId="77777777" w:rsidR="001A5EC8" w:rsidRPr="001A5EC8" w:rsidRDefault="001A5EC8" w:rsidP="001A5EC8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7.1.3. Rozwój powiązań komunikacyjnych wewnątrz obszarów funkcjonalnych biegunów wzrostu;</w:t>
      </w:r>
    </w:p>
    <w:p w14:paraId="3E8B8FB6" w14:textId="77777777" w:rsidR="001A5EC8" w:rsidRPr="001A5EC8" w:rsidRDefault="001A5EC8" w:rsidP="001A5EC8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7.1.4. Rozwój miast powiatowych i miast mniejszych.</w:t>
      </w:r>
    </w:p>
    <w:p w14:paraId="0B14FC68" w14:textId="77777777" w:rsidR="001A5EC8" w:rsidRPr="001A5EC8" w:rsidRDefault="001A5EC8" w:rsidP="001A5EC8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Ponadto, w dokumencie SRP nie zawarto ram finansowych, wskazano jedynie potencjalne źródła finansowania. Działania określone w strategii rozwoju muszą być poparte możliwościami ich realizacji, w kontekście zapewnienia ich finansowania. W ramach dokumentu należy wskazać wielkości środków finansowych zaplanowanych na realizację strategii wraz z potencjalnymi źródłami finansowymi.</w:t>
      </w:r>
    </w:p>
    <w:p w14:paraId="3F23D99A" w14:textId="77777777" w:rsidR="001A5EC8" w:rsidRPr="001A5EC8" w:rsidRDefault="001A5EC8" w:rsidP="001A5EC8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Brak ww. elementów wpłynął na wydanie opinii przez Zarząd Województwa Podkarpackiego.</w:t>
      </w:r>
    </w:p>
    <w:p w14:paraId="5D5FCF25" w14:textId="77777777" w:rsidR="001A5EC8" w:rsidRPr="001A5EC8" w:rsidRDefault="001A5EC8" w:rsidP="001A5EC8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Mając na uwadze powyższe ustalenia i rekomendacje, a także zakres ustawowy przedmiotowej opinii na podstawie art. 41 ust. 1 ustawy z dnia 5 czerwca 1998 r. o samorządzie województwa (</w:t>
      </w:r>
      <w:proofErr w:type="spellStart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Dz. U. z 2022 r. poz. 2094 ze zm.) w związku z art. 10g ust. 5 i 6 </w:t>
      </w:r>
      <w:proofErr w:type="spellStart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Zarząd Województwa Podkarpackiego postanawia negatywnie zaopiniować projekt </w:t>
      </w:r>
      <w:r w:rsidRPr="001A5EC8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 xml:space="preserve">Strategii Rozwoju Ponadlokalnego Związku Gmin Turystycznych Pogórza Dynowskiego na lata 2022-2030 </w:t>
      </w: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zakresie uwzględnienia w nim ustaleń i rekomendacji dotyczących kształtowania i prowadzenia polityki przestrzennej w województwie określonych w Strategii rozwoju województwa – Podkarpackie 2030.</w:t>
      </w:r>
    </w:p>
    <w:p w14:paraId="3F9AB55A" w14:textId="77777777" w:rsidR="001A5EC8" w:rsidRPr="001A5EC8" w:rsidRDefault="001A5EC8" w:rsidP="001A5EC8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związku z powyższym, należy uzupełnić projekt o wskazane elementy, a następnie ponownie przedłożyć projekt SRP do opiniowania przez Zarząd Województwa Podkarpackiego.</w:t>
      </w:r>
    </w:p>
    <w:p w14:paraId="2D2C21A7" w14:textId="77777777" w:rsidR="001A5EC8" w:rsidRPr="001A5EC8" w:rsidRDefault="001A5EC8" w:rsidP="001A5EC8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293F584B" w14:textId="77777777" w:rsidR="001A5EC8" w:rsidRPr="001A5EC8" w:rsidRDefault="001A5EC8" w:rsidP="001A5EC8"/>
    <w:sectPr w:rsidR="001A5EC8" w:rsidRPr="001A5EC8" w:rsidSect="00113C0F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140FD" w14:textId="77777777" w:rsidR="003256A3" w:rsidRDefault="00C471D2">
      <w:pPr>
        <w:spacing w:after="0" w:line="240" w:lineRule="auto"/>
      </w:pPr>
      <w:r>
        <w:separator/>
      </w:r>
    </w:p>
  </w:endnote>
  <w:endnote w:type="continuationSeparator" w:id="0">
    <w:p w14:paraId="49B2D2A2" w14:textId="77777777" w:rsidR="003256A3" w:rsidRDefault="00C47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69594" w14:textId="77777777" w:rsidR="007F240B" w:rsidRDefault="007F240B">
    <w:pPr>
      <w:pStyle w:val="Stopka"/>
      <w:jc w:val="right"/>
    </w:pPr>
  </w:p>
  <w:p w14:paraId="48150F21" w14:textId="77777777" w:rsidR="007F240B" w:rsidRDefault="007F24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1AC99" w14:textId="77777777" w:rsidR="003256A3" w:rsidRDefault="00C471D2">
      <w:pPr>
        <w:spacing w:after="0" w:line="240" w:lineRule="auto"/>
      </w:pPr>
      <w:r>
        <w:separator/>
      </w:r>
    </w:p>
  </w:footnote>
  <w:footnote w:type="continuationSeparator" w:id="0">
    <w:p w14:paraId="1F91CAFA" w14:textId="77777777" w:rsidR="003256A3" w:rsidRDefault="00C471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EC8"/>
    <w:rsid w:val="001A5EC8"/>
    <w:rsid w:val="00275D91"/>
    <w:rsid w:val="003256A3"/>
    <w:rsid w:val="004A573C"/>
    <w:rsid w:val="00507FE8"/>
    <w:rsid w:val="00633D27"/>
    <w:rsid w:val="00692BC8"/>
    <w:rsid w:val="00715106"/>
    <w:rsid w:val="007F240B"/>
    <w:rsid w:val="00AA1D9A"/>
    <w:rsid w:val="00C4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5A8A8"/>
  <w15:chartTrackingRefBased/>
  <w15:docId w15:val="{81C9A9D3-FBA5-4FC0-9874-F16C09E13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A5EC8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1A5EC8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51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51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98C6D-E7A1-48CC-811F-78B95F4DB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1456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540_11309_23</dc:title>
  <dc:subject/>
  <dc:creator>Surmacz Paulina</dc:creator>
  <cp:keywords/>
  <dc:description/>
  <cp:lastModifiedBy>.</cp:lastModifiedBy>
  <cp:revision>5</cp:revision>
  <cp:lastPrinted>2023-11-07T10:01:00Z</cp:lastPrinted>
  <dcterms:created xsi:type="dcterms:W3CDTF">2023-11-03T10:41:00Z</dcterms:created>
  <dcterms:modified xsi:type="dcterms:W3CDTF">2023-11-10T08:34:00Z</dcterms:modified>
</cp:coreProperties>
</file>